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1C6" w:rsidRPr="003721C6" w:rsidRDefault="004F2365" w:rsidP="003721C6">
      <w:pPr>
        <w:pStyle w:val="StandardHead"/>
        <w:spacing w:before="0"/>
      </w:pPr>
      <w:r>
        <w:t>schedule 2G – 3</w:t>
      </w:r>
      <w:bookmarkStart w:id="0" w:name="_GoBack"/>
      <w:bookmarkEnd w:id="0"/>
    </w:p>
    <w:p w:rsidR="003721C6" w:rsidRPr="003721C6" w:rsidRDefault="003721C6" w:rsidP="003721C6">
      <w:pPr>
        <w:jc w:val="center"/>
      </w:pPr>
    </w:p>
    <w:p w:rsidR="003721C6" w:rsidRPr="003721C6" w:rsidRDefault="003721C6" w:rsidP="003721C6">
      <w:pPr>
        <w:jc w:val="center"/>
        <w:rPr>
          <w:rFonts w:cs="Arial"/>
          <w:b/>
        </w:rPr>
      </w:pPr>
      <w:r w:rsidRPr="003721C6">
        <w:rPr>
          <w:rFonts w:cs="Arial"/>
          <w:b/>
        </w:rPr>
        <w:t>Tax Compliance</w:t>
      </w:r>
    </w:p>
    <w:p w:rsidR="003721C6" w:rsidRPr="003721C6" w:rsidRDefault="003721C6" w:rsidP="003721C6">
      <w:pPr>
        <w:jc w:val="center"/>
        <w:rPr>
          <w:rFonts w:cs="Arial"/>
          <w:b/>
        </w:rPr>
      </w:pPr>
    </w:p>
    <w:p w:rsidR="003721C6" w:rsidRPr="003721C6" w:rsidRDefault="003721C6" w:rsidP="003721C6">
      <w:pPr>
        <w:pStyle w:val="BodyTextIndent3"/>
        <w:ind w:left="0"/>
        <w:rPr>
          <w:rFonts w:cs="Arial"/>
          <w:sz w:val="20"/>
          <w:szCs w:val="20"/>
        </w:rPr>
      </w:pPr>
    </w:p>
    <w:p w:rsidR="003721C6" w:rsidRPr="003721C6" w:rsidRDefault="003721C6" w:rsidP="003721C6">
      <w:pPr>
        <w:pStyle w:val="BodyTextIndent3"/>
        <w:tabs>
          <w:tab w:val="left" w:pos="567"/>
        </w:tabs>
        <w:spacing w:after="0"/>
        <w:ind w:left="0"/>
        <w:rPr>
          <w:rFonts w:cs="Arial"/>
          <w:b/>
          <w:sz w:val="20"/>
          <w:szCs w:val="20"/>
        </w:rPr>
      </w:pPr>
      <w:r w:rsidRPr="003721C6">
        <w:rPr>
          <w:rFonts w:cs="Arial"/>
          <w:b/>
          <w:sz w:val="20"/>
          <w:szCs w:val="20"/>
        </w:rPr>
        <w:t>1.</w:t>
      </w:r>
      <w:r w:rsidRPr="003721C6">
        <w:rPr>
          <w:rFonts w:cs="Arial"/>
          <w:b/>
          <w:sz w:val="20"/>
          <w:szCs w:val="20"/>
        </w:rPr>
        <w:tab/>
        <w:t>Definitions and Interpretation</w:t>
      </w:r>
    </w:p>
    <w:p w:rsidR="003721C6" w:rsidRPr="003721C6" w:rsidRDefault="003721C6" w:rsidP="003721C6">
      <w:pPr>
        <w:pStyle w:val="BodyTextIndent3"/>
        <w:spacing w:after="0"/>
        <w:ind w:left="0"/>
        <w:rPr>
          <w:rFonts w:cs="Arial"/>
          <w:sz w:val="20"/>
          <w:szCs w:val="20"/>
        </w:rPr>
      </w:pPr>
    </w:p>
    <w:p w:rsidR="003721C6" w:rsidRPr="003721C6" w:rsidRDefault="003721C6" w:rsidP="003721C6">
      <w:pPr>
        <w:pStyle w:val="BodyTextIndent3"/>
        <w:spacing w:after="0"/>
        <w:ind w:left="0"/>
        <w:rPr>
          <w:rFonts w:cs="Arial"/>
          <w:sz w:val="20"/>
          <w:szCs w:val="20"/>
        </w:rPr>
      </w:pPr>
      <w:r w:rsidRPr="003721C6">
        <w:rPr>
          <w:rFonts w:cs="Arial"/>
          <w:sz w:val="20"/>
          <w:szCs w:val="20"/>
        </w:rPr>
        <w:t>1.</w:t>
      </w:r>
      <w:r w:rsidRPr="003721C6">
        <w:rPr>
          <w:rFonts w:cs="Arial"/>
          <w:sz w:val="20"/>
          <w:szCs w:val="20"/>
        </w:rPr>
        <w:tab/>
        <w:t>In this Schedule, the following terms shall have the meaning set out below:</w:t>
      </w:r>
    </w:p>
    <w:p w:rsidR="003721C6" w:rsidRPr="003721C6" w:rsidRDefault="003721C6" w:rsidP="003721C6">
      <w:pPr>
        <w:pStyle w:val="BodyTextIndent3"/>
        <w:spacing w:after="0"/>
        <w:ind w:left="0"/>
        <w:rPr>
          <w:rFonts w:cs="Arial"/>
          <w:sz w:val="20"/>
          <w:szCs w:val="20"/>
        </w:rPr>
      </w:pPr>
    </w:p>
    <w:p w:rsidR="003721C6" w:rsidRPr="003721C6" w:rsidRDefault="003721C6" w:rsidP="003721C6">
      <w:pPr>
        <w:pStyle w:val="Definition"/>
        <w:spacing w:before="0" w:line="240" w:lineRule="auto"/>
      </w:pPr>
      <w:r w:rsidRPr="003721C6">
        <w:t xml:space="preserve">"DOTAS" </w:t>
      </w:r>
    </w:p>
    <w:p w:rsidR="003721C6" w:rsidRPr="003721C6" w:rsidRDefault="003721C6" w:rsidP="003721C6">
      <w:pPr>
        <w:pStyle w:val="DefinitionText"/>
        <w:spacing w:before="120" w:after="120" w:line="240" w:lineRule="auto"/>
      </w:pPr>
      <w:r w:rsidRPr="003721C6">
        <w:t xml:space="preserve">means the Disclosure of Tax Avoidance Schemes rules which require a promoter of tax schemes to tell HM Revenue &amp;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(Application of Part 7 of the Finance Act 2004) Regulations 2012, SI 2012/1868 made under s.132A Social Security Administration Act 1992. </w:t>
      </w:r>
    </w:p>
    <w:p w:rsidR="003721C6" w:rsidRPr="003721C6" w:rsidRDefault="003721C6" w:rsidP="003721C6">
      <w:pPr>
        <w:pStyle w:val="Definition"/>
        <w:spacing w:before="0" w:line="240" w:lineRule="auto"/>
        <w:rPr>
          <w:i/>
          <w:iCs/>
        </w:rPr>
      </w:pPr>
      <w:r w:rsidRPr="003721C6">
        <w:t xml:space="preserve">“General Anti-Abuse Rule” </w:t>
      </w:r>
    </w:p>
    <w:p w:rsidR="003721C6" w:rsidRPr="003721C6" w:rsidRDefault="003721C6" w:rsidP="003721C6">
      <w:pPr>
        <w:pStyle w:val="DefinitionText"/>
        <w:spacing w:before="120" w:after="120" w:line="240" w:lineRule="auto"/>
      </w:pPr>
      <w:r w:rsidRPr="003721C6">
        <w:t xml:space="preserve">means (a) the legislation in Part 5 of the Finance Act 2013; and (b) any future legislation introduced into parliament to counteract tax advantages arising from abusive arrangements to avoid national insurance contributions. </w:t>
      </w:r>
    </w:p>
    <w:p w:rsidR="003721C6" w:rsidRPr="003721C6" w:rsidRDefault="003721C6" w:rsidP="003721C6">
      <w:pPr>
        <w:pStyle w:val="Definition"/>
        <w:spacing w:before="0" w:line="240" w:lineRule="auto"/>
        <w:rPr>
          <w:i/>
          <w:iCs/>
        </w:rPr>
      </w:pPr>
      <w:r w:rsidRPr="003721C6">
        <w:t>“Halifax Abuse Principle”</w:t>
      </w:r>
    </w:p>
    <w:p w:rsidR="003721C6" w:rsidRPr="003721C6" w:rsidRDefault="003721C6" w:rsidP="003721C6">
      <w:pPr>
        <w:pStyle w:val="DefinitionText"/>
        <w:spacing w:before="120" w:after="120" w:line="240" w:lineRule="auto"/>
      </w:pPr>
      <w:proofErr w:type="gramStart"/>
      <w:r w:rsidRPr="003721C6">
        <w:t>means</w:t>
      </w:r>
      <w:proofErr w:type="gramEnd"/>
      <w:r w:rsidRPr="003721C6">
        <w:t xml:space="preserve"> the principle explained in the CJEU Case C-255/02 Halifax and others. </w:t>
      </w:r>
    </w:p>
    <w:p w:rsidR="003721C6" w:rsidRPr="003721C6" w:rsidRDefault="003721C6" w:rsidP="003721C6">
      <w:pPr>
        <w:pStyle w:val="Definition"/>
        <w:spacing w:before="0" w:line="240" w:lineRule="auto"/>
      </w:pPr>
      <w:r w:rsidRPr="003721C6">
        <w:t xml:space="preserve">“Occasion of Tax Non-Compliance”  </w:t>
      </w:r>
    </w:p>
    <w:p w:rsidR="003721C6" w:rsidRPr="003721C6" w:rsidRDefault="003721C6" w:rsidP="003721C6">
      <w:pPr>
        <w:pStyle w:val="DefinitionText"/>
        <w:spacing w:before="120" w:after="120" w:line="240" w:lineRule="auto"/>
      </w:pPr>
      <w:proofErr w:type="gramStart"/>
      <w:r w:rsidRPr="003721C6">
        <w:t>means</w:t>
      </w:r>
      <w:proofErr w:type="gramEnd"/>
      <w:r w:rsidRPr="003721C6">
        <w:t>:</w:t>
      </w:r>
    </w:p>
    <w:p w:rsidR="003721C6" w:rsidRPr="003721C6" w:rsidRDefault="003721C6" w:rsidP="003721C6">
      <w:pPr>
        <w:pStyle w:val="DefinitionText"/>
        <w:spacing w:before="120" w:after="120" w:line="240" w:lineRule="auto"/>
        <w:ind w:left="2268" w:hanging="567"/>
      </w:pPr>
      <w:r w:rsidRPr="003721C6">
        <w:t>(a)</w:t>
      </w:r>
      <w:r w:rsidRPr="003721C6">
        <w:tab/>
      </w:r>
      <w:proofErr w:type="gramStart"/>
      <w:r w:rsidRPr="003721C6">
        <w:t>any</w:t>
      </w:r>
      <w:proofErr w:type="gramEnd"/>
      <w:r w:rsidRPr="003721C6">
        <w:t xml:space="preserve"> tax return of the </w:t>
      </w:r>
      <w:r w:rsidR="00B25B69">
        <w:t>Provider</w:t>
      </w:r>
      <w:r w:rsidRPr="003721C6">
        <w:t xml:space="preserve"> submitted to a Relevant Tax Authority on or after 1 October 2012 is found to be incorrect as a result of: </w:t>
      </w:r>
    </w:p>
    <w:p w:rsidR="003721C6" w:rsidRPr="003721C6" w:rsidRDefault="003721C6" w:rsidP="003721C6">
      <w:pPr>
        <w:pStyle w:val="DefinitionText"/>
        <w:spacing w:before="120" w:after="120" w:line="240" w:lineRule="auto"/>
        <w:ind w:left="2552" w:hanging="284"/>
      </w:pPr>
      <w:r w:rsidRPr="003721C6">
        <w:t>(</w:t>
      </w:r>
      <w:proofErr w:type="spellStart"/>
      <w:r w:rsidRPr="003721C6">
        <w:t>i</w:t>
      </w:r>
      <w:proofErr w:type="spellEnd"/>
      <w:r w:rsidRPr="003721C6">
        <w:t>)</w:t>
      </w:r>
      <w:r w:rsidRPr="003721C6">
        <w:tab/>
      </w:r>
      <w:proofErr w:type="gramStart"/>
      <w:r w:rsidRPr="003721C6">
        <w:t>a</w:t>
      </w:r>
      <w:proofErr w:type="gramEnd"/>
      <w:r w:rsidRPr="003721C6">
        <w:t xml:space="preserve"> Relevant Tax Authority successfully challenging the </w:t>
      </w:r>
      <w:r w:rsidR="00B25B69">
        <w:t>Provider</w:t>
      </w:r>
      <w:r w:rsidRPr="003721C6">
        <w:t xml:space="preserve"> under the General Anti-Abuse Rule or the Halifax Abuse Principle or under any tax rules or legislation that have an effect equivalent or similar to the General Anti-Abuse Rule or the Halifax Abuse Principle; </w:t>
      </w:r>
    </w:p>
    <w:p w:rsidR="003721C6" w:rsidRPr="003721C6" w:rsidRDefault="003721C6" w:rsidP="003721C6">
      <w:pPr>
        <w:pStyle w:val="DefinitionText"/>
        <w:spacing w:before="120" w:after="120" w:line="240" w:lineRule="auto"/>
        <w:ind w:left="2552" w:hanging="284"/>
      </w:pPr>
      <w:r w:rsidRPr="003721C6">
        <w:t>(ii)</w:t>
      </w:r>
      <w:r w:rsidRPr="003721C6">
        <w:tab/>
        <w:t xml:space="preserve">the failure of an avoidance scheme which the </w:t>
      </w:r>
      <w:r w:rsidR="00B25B69">
        <w:t>Provider</w:t>
      </w:r>
      <w:r w:rsidRPr="003721C6">
        <w:t xml:space="preserve"> was involved in, and which was, or should have been, notified to a Relevant Tax Authority under the DOTAS or any equivalent or similar regime; and/or </w:t>
      </w:r>
    </w:p>
    <w:p w:rsidR="003721C6" w:rsidRPr="003721C6" w:rsidRDefault="003721C6" w:rsidP="003721C6">
      <w:pPr>
        <w:pStyle w:val="DefinitionText"/>
        <w:spacing w:before="120" w:after="120" w:line="240" w:lineRule="auto"/>
        <w:ind w:left="2268" w:hanging="567"/>
      </w:pPr>
      <w:r w:rsidRPr="003721C6">
        <w:t>(b)</w:t>
      </w:r>
      <w:r w:rsidRPr="003721C6">
        <w:tab/>
        <w:t xml:space="preserve">the </w:t>
      </w:r>
      <w:r w:rsidR="00B25B69">
        <w:t>Provider</w:t>
      </w:r>
      <w:r w:rsidRPr="003721C6">
        <w:t xml:space="preserve">’s tax affairs give rise on or after 1 April 2013 to a criminal conviction in any jurisdiction for tax related offences which is not spent at the Commencement Date or to a penalty for civil fraud or evasion, </w:t>
      </w:r>
    </w:p>
    <w:p w:rsidR="003721C6" w:rsidRPr="003721C6" w:rsidRDefault="003721C6" w:rsidP="003721C6">
      <w:pPr>
        <w:pStyle w:val="Definition"/>
        <w:tabs>
          <w:tab w:val="left" w:pos="1418"/>
        </w:tabs>
        <w:spacing w:before="0" w:line="240" w:lineRule="auto"/>
      </w:pPr>
      <w:r w:rsidRPr="003721C6">
        <w:t>“Relevant Tax Authority”</w:t>
      </w:r>
    </w:p>
    <w:p w:rsidR="003721C6" w:rsidRPr="003721C6" w:rsidRDefault="003721C6" w:rsidP="003721C6">
      <w:pPr>
        <w:pStyle w:val="DefinitionText"/>
        <w:spacing w:before="120" w:after="120" w:line="240" w:lineRule="auto"/>
      </w:pPr>
      <w:proofErr w:type="gramStart"/>
      <w:r w:rsidRPr="003721C6">
        <w:t>means</w:t>
      </w:r>
      <w:proofErr w:type="gramEnd"/>
      <w:r w:rsidRPr="003721C6">
        <w:t xml:space="preserve"> HM Revenue &amp; Customs, or, if applicable, a tax authority in the jurisdiction in which the </w:t>
      </w:r>
      <w:r w:rsidR="00B25B69">
        <w:t>Provider</w:t>
      </w:r>
      <w:r w:rsidRPr="003721C6">
        <w:t xml:space="preserve"> is established. </w:t>
      </w:r>
    </w:p>
    <w:p w:rsidR="003721C6" w:rsidRPr="003721C6" w:rsidRDefault="003721C6" w:rsidP="003721C6">
      <w:pPr>
        <w:pStyle w:val="Definition"/>
        <w:spacing w:before="0" w:line="240" w:lineRule="auto"/>
      </w:pPr>
    </w:p>
    <w:p w:rsidR="003721C6" w:rsidRPr="003721C6" w:rsidRDefault="003721C6" w:rsidP="003721C6">
      <w:pPr>
        <w:pStyle w:val="BodyTextIndent3"/>
        <w:spacing w:after="0"/>
        <w:ind w:left="0"/>
        <w:rPr>
          <w:rFonts w:cs="Arial"/>
          <w:b/>
          <w:sz w:val="20"/>
          <w:szCs w:val="20"/>
        </w:rPr>
      </w:pPr>
      <w:r w:rsidRPr="003721C6">
        <w:rPr>
          <w:rFonts w:cs="Arial"/>
          <w:b/>
          <w:sz w:val="20"/>
          <w:szCs w:val="20"/>
        </w:rPr>
        <w:t>2.</w:t>
      </w:r>
      <w:r w:rsidRPr="003721C6">
        <w:rPr>
          <w:rFonts w:cs="Arial"/>
          <w:b/>
          <w:sz w:val="20"/>
          <w:szCs w:val="20"/>
        </w:rPr>
        <w:tab/>
        <w:t>Warranty</w:t>
      </w:r>
    </w:p>
    <w:p w:rsidR="003721C6" w:rsidRPr="003721C6" w:rsidRDefault="003721C6" w:rsidP="003721C6">
      <w:pPr>
        <w:pStyle w:val="BodyTextIndent3"/>
        <w:spacing w:before="120"/>
        <w:ind w:left="567"/>
        <w:rPr>
          <w:rFonts w:cs="Arial"/>
          <w:sz w:val="20"/>
          <w:szCs w:val="20"/>
        </w:rPr>
      </w:pPr>
      <w:r w:rsidRPr="003721C6">
        <w:rPr>
          <w:rFonts w:cs="Arial"/>
          <w:sz w:val="20"/>
          <w:szCs w:val="20"/>
        </w:rPr>
        <w:t xml:space="preserve">The </w:t>
      </w:r>
      <w:r w:rsidR="00B25B69">
        <w:rPr>
          <w:rFonts w:cs="Arial"/>
          <w:sz w:val="20"/>
          <w:szCs w:val="20"/>
        </w:rPr>
        <w:t>Provider</w:t>
      </w:r>
      <w:r w:rsidRPr="003721C6">
        <w:rPr>
          <w:rFonts w:cs="Arial"/>
          <w:sz w:val="20"/>
          <w:szCs w:val="20"/>
        </w:rPr>
        <w:t xml:space="preserve"> represents and warrants that as at the Commencement Date, it has notified the </w:t>
      </w:r>
      <w:r w:rsidR="00B25B69">
        <w:rPr>
          <w:rFonts w:cs="Arial"/>
          <w:sz w:val="20"/>
          <w:szCs w:val="20"/>
        </w:rPr>
        <w:t>Co-ordinating Commissioner</w:t>
      </w:r>
      <w:r w:rsidRPr="003721C6">
        <w:rPr>
          <w:rFonts w:cs="Arial"/>
          <w:sz w:val="20"/>
          <w:szCs w:val="20"/>
        </w:rPr>
        <w:t xml:space="preserve"> in writing of any Occasions of Tax Non-Compliance or any litigation that it is involved in that is in connection with any Occasions of Tax Non Compliance.</w:t>
      </w:r>
    </w:p>
    <w:p w:rsidR="003721C6" w:rsidRPr="003721C6" w:rsidRDefault="003721C6" w:rsidP="003721C6">
      <w:pPr>
        <w:pStyle w:val="BodyTextIndent3"/>
        <w:spacing w:after="0"/>
        <w:ind w:left="0"/>
        <w:rPr>
          <w:rFonts w:cs="Arial"/>
          <w:sz w:val="20"/>
          <w:szCs w:val="20"/>
        </w:rPr>
      </w:pPr>
    </w:p>
    <w:p w:rsidR="003721C6" w:rsidRPr="003721C6" w:rsidRDefault="003721C6" w:rsidP="003721C6">
      <w:pPr>
        <w:pStyle w:val="BodyTextIndent3"/>
        <w:spacing w:after="0"/>
        <w:ind w:left="0"/>
        <w:rPr>
          <w:rFonts w:cs="Arial"/>
          <w:b/>
          <w:sz w:val="20"/>
          <w:szCs w:val="20"/>
        </w:rPr>
      </w:pPr>
      <w:r w:rsidRPr="003721C6">
        <w:rPr>
          <w:rFonts w:cs="Arial"/>
          <w:b/>
          <w:sz w:val="20"/>
          <w:szCs w:val="20"/>
        </w:rPr>
        <w:t>3.</w:t>
      </w:r>
      <w:r w:rsidRPr="003721C6">
        <w:rPr>
          <w:rFonts w:cs="Arial"/>
          <w:b/>
          <w:sz w:val="20"/>
          <w:szCs w:val="20"/>
        </w:rPr>
        <w:tab/>
        <w:t xml:space="preserve">Notification of Occasion of Tax Non-Compliance </w:t>
      </w:r>
    </w:p>
    <w:p w:rsidR="003721C6" w:rsidRPr="003721C6" w:rsidRDefault="003721C6" w:rsidP="003721C6">
      <w:pPr>
        <w:pStyle w:val="BodyTextIndent3"/>
        <w:spacing w:before="120"/>
        <w:ind w:left="567"/>
        <w:rPr>
          <w:rFonts w:cs="Arial"/>
          <w:sz w:val="20"/>
          <w:szCs w:val="20"/>
        </w:rPr>
      </w:pPr>
      <w:r w:rsidRPr="003721C6">
        <w:rPr>
          <w:rFonts w:cs="Arial"/>
          <w:sz w:val="20"/>
          <w:szCs w:val="20"/>
        </w:rPr>
        <w:t>If, at any point during the Agreement</w:t>
      </w:r>
      <w:r w:rsidRPr="003721C6" w:rsidDel="00AE1B4A">
        <w:rPr>
          <w:rFonts w:cs="Arial"/>
          <w:sz w:val="20"/>
          <w:szCs w:val="20"/>
        </w:rPr>
        <w:t xml:space="preserve"> </w:t>
      </w:r>
      <w:r w:rsidRPr="003721C6">
        <w:rPr>
          <w:rFonts w:cs="Arial"/>
          <w:sz w:val="20"/>
          <w:szCs w:val="20"/>
        </w:rPr>
        <w:t xml:space="preserve">Term, an Occasion of Tax Non-Compliance occurs, the </w:t>
      </w:r>
      <w:r w:rsidR="00B25B69">
        <w:rPr>
          <w:rFonts w:cs="Arial"/>
          <w:sz w:val="20"/>
          <w:szCs w:val="20"/>
        </w:rPr>
        <w:t>Provider</w:t>
      </w:r>
      <w:r w:rsidRPr="003721C6">
        <w:rPr>
          <w:rFonts w:cs="Arial"/>
          <w:sz w:val="20"/>
          <w:szCs w:val="20"/>
        </w:rPr>
        <w:t xml:space="preserve"> shall: </w:t>
      </w:r>
    </w:p>
    <w:p w:rsidR="003721C6" w:rsidRPr="003721C6" w:rsidRDefault="003721C6" w:rsidP="003721C6">
      <w:pPr>
        <w:pStyle w:val="BodyTextIndent3"/>
        <w:spacing w:before="120"/>
        <w:ind w:left="1276" w:hanging="709"/>
        <w:rPr>
          <w:rFonts w:cs="Arial"/>
          <w:sz w:val="20"/>
          <w:szCs w:val="20"/>
        </w:rPr>
      </w:pPr>
      <w:r w:rsidRPr="003721C6">
        <w:rPr>
          <w:rFonts w:cs="Arial"/>
          <w:sz w:val="20"/>
          <w:szCs w:val="20"/>
        </w:rPr>
        <w:lastRenderedPageBreak/>
        <w:t>(a)</w:t>
      </w:r>
      <w:r w:rsidRPr="003721C6">
        <w:rPr>
          <w:rFonts w:cs="Arial"/>
          <w:sz w:val="20"/>
          <w:szCs w:val="20"/>
        </w:rPr>
        <w:tab/>
      </w:r>
      <w:proofErr w:type="gramStart"/>
      <w:r w:rsidRPr="003721C6">
        <w:rPr>
          <w:rFonts w:cs="Arial"/>
          <w:sz w:val="20"/>
          <w:szCs w:val="20"/>
        </w:rPr>
        <w:t>notify</w:t>
      </w:r>
      <w:proofErr w:type="gramEnd"/>
      <w:r w:rsidRPr="003721C6">
        <w:rPr>
          <w:rFonts w:cs="Arial"/>
          <w:sz w:val="20"/>
          <w:szCs w:val="20"/>
        </w:rPr>
        <w:t xml:space="preserve"> the </w:t>
      </w:r>
      <w:r w:rsidR="00B25B69">
        <w:rPr>
          <w:rFonts w:cs="Arial"/>
          <w:sz w:val="20"/>
          <w:szCs w:val="20"/>
        </w:rPr>
        <w:t>Co-ordinating Commissioner</w:t>
      </w:r>
      <w:r w:rsidRPr="003721C6">
        <w:rPr>
          <w:rFonts w:cs="Arial"/>
          <w:sz w:val="20"/>
          <w:szCs w:val="20"/>
        </w:rPr>
        <w:t xml:space="preserve"> in writing of such fact within five (5) Days of its occurrence; and </w:t>
      </w:r>
    </w:p>
    <w:p w:rsidR="003721C6" w:rsidRPr="003721C6" w:rsidRDefault="003721C6" w:rsidP="003721C6">
      <w:pPr>
        <w:pStyle w:val="BodyTextIndent3"/>
        <w:spacing w:before="120"/>
        <w:ind w:left="1276" w:hanging="709"/>
        <w:rPr>
          <w:rFonts w:cs="Arial"/>
          <w:sz w:val="20"/>
          <w:szCs w:val="20"/>
        </w:rPr>
      </w:pPr>
      <w:r w:rsidRPr="003721C6">
        <w:rPr>
          <w:rFonts w:cs="Arial"/>
          <w:sz w:val="20"/>
          <w:szCs w:val="20"/>
        </w:rPr>
        <w:t>(b)</w:t>
      </w:r>
      <w:r w:rsidRPr="003721C6">
        <w:rPr>
          <w:rFonts w:cs="Arial"/>
          <w:sz w:val="20"/>
          <w:szCs w:val="20"/>
        </w:rPr>
        <w:tab/>
      </w:r>
      <w:proofErr w:type="gramStart"/>
      <w:r w:rsidRPr="003721C6">
        <w:rPr>
          <w:rFonts w:cs="Arial"/>
          <w:sz w:val="20"/>
          <w:szCs w:val="20"/>
        </w:rPr>
        <w:t>promptly</w:t>
      </w:r>
      <w:proofErr w:type="gramEnd"/>
      <w:r w:rsidRPr="003721C6">
        <w:rPr>
          <w:rFonts w:cs="Arial"/>
          <w:sz w:val="20"/>
          <w:szCs w:val="20"/>
        </w:rPr>
        <w:t xml:space="preserve"> provide to the </w:t>
      </w:r>
      <w:r w:rsidR="00B25B69">
        <w:rPr>
          <w:rFonts w:cs="Arial"/>
          <w:sz w:val="20"/>
          <w:szCs w:val="20"/>
        </w:rPr>
        <w:t>Co-ordinating Commissioner</w:t>
      </w:r>
      <w:r w:rsidRPr="003721C6">
        <w:rPr>
          <w:rFonts w:cs="Arial"/>
          <w:sz w:val="20"/>
          <w:szCs w:val="20"/>
        </w:rPr>
        <w:t xml:space="preserve">: </w:t>
      </w:r>
    </w:p>
    <w:p w:rsidR="003721C6" w:rsidRPr="003721C6" w:rsidRDefault="003721C6" w:rsidP="003721C6">
      <w:pPr>
        <w:pStyle w:val="BodyTextIndent3"/>
        <w:spacing w:before="120"/>
        <w:ind w:left="1276" w:hanging="709"/>
        <w:rPr>
          <w:rFonts w:cs="Arial"/>
          <w:sz w:val="20"/>
          <w:szCs w:val="20"/>
        </w:rPr>
      </w:pPr>
      <w:r w:rsidRPr="003721C6">
        <w:rPr>
          <w:rFonts w:cs="Arial"/>
          <w:sz w:val="20"/>
          <w:szCs w:val="20"/>
        </w:rPr>
        <w:t>(</w:t>
      </w:r>
      <w:proofErr w:type="spellStart"/>
      <w:r w:rsidRPr="003721C6">
        <w:rPr>
          <w:rFonts w:cs="Arial"/>
          <w:sz w:val="20"/>
          <w:szCs w:val="20"/>
        </w:rPr>
        <w:t>i</w:t>
      </w:r>
      <w:proofErr w:type="spellEnd"/>
      <w:r w:rsidRPr="003721C6">
        <w:rPr>
          <w:rFonts w:cs="Arial"/>
          <w:sz w:val="20"/>
          <w:szCs w:val="20"/>
        </w:rPr>
        <w:t>)</w:t>
      </w:r>
      <w:r w:rsidRPr="003721C6">
        <w:rPr>
          <w:rFonts w:cs="Arial"/>
          <w:sz w:val="20"/>
          <w:szCs w:val="20"/>
        </w:rPr>
        <w:tab/>
        <w:t xml:space="preserve">details of the steps which the </w:t>
      </w:r>
      <w:r w:rsidR="00B25B69">
        <w:rPr>
          <w:rFonts w:cs="Arial"/>
          <w:sz w:val="20"/>
          <w:szCs w:val="20"/>
        </w:rPr>
        <w:t>Provider</w:t>
      </w:r>
      <w:r w:rsidRPr="003721C6">
        <w:rPr>
          <w:rFonts w:cs="Arial"/>
          <w:sz w:val="20"/>
          <w:szCs w:val="20"/>
        </w:rPr>
        <w:t xml:space="preserve"> is taking to address the Occasion of Tax Non-Compliance and to prevent the same from recurring, together with any mitigating factors that it considers relevant; and </w:t>
      </w:r>
    </w:p>
    <w:p w:rsidR="003721C6" w:rsidRPr="003721C6" w:rsidRDefault="003721C6" w:rsidP="003721C6">
      <w:pPr>
        <w:pStyle w:val="BodyTextIndent3"/>
        <w:spacing w:before="120"/>
        <w:ind w:left="1276" w:hanging="709"/>
        <w:rPr>
          <w:rFonts w:cs="Arial"/>
          <w:sz w:val="20"/>
          <w:szCs w:val="20"/>
        </w:rPr>
      </w:pPr>
      <w:r w:rsidRPr="003721C6">
        <w:rPr>
          <w:rFonts w:cs="Arial"/>
          <w:sz w:val="20"/>
          <w:szCs w:val="20"/>
        </w:rPr>
        <w:t>(ii)</w:t>
      </w:r>
      <w:r w:rsidRPr="003721C6">
        <w:rPr>
          <w:rFonts w:cs="Arial"/>
          <w:sz w:val="20"/>
          <w:szCs w:val="20"/>
        </w:rPr>
        <w:tab/>
      </w:r>
      <w:proofErr w:type="gramStart"/>
      <w:r w:rsidRPr="003721C6">
        <w:rPr>
          <w:rFonts w:cs="Arial"/>
          <w:sz w:val="20"/>
          <w:szCs w:val="20"/>
        </w:rPr>
        <w:t>such</w:t>
      </w:r>
      <w:proofErr w:type="gramEnd"/>
      <w:r w:rsidRPr="003721C6">
        <w:rPr>
          <w:rFonts w:cs="Arial"/>
          <w:sz w:val="20"/>
          <w:szCs w:val="20"/>
        </w:rPr>
        <w:t xml:space="preserve"> other information in relation to the Occasion of Tax Non-Compliance as the </w:t>
      </w:r>
      <w:r w:rsidR="00B25B69">
        <w:rPr>
          <w:rFonts w:cs="Arial"/>
          <w:sz w:val="20"/>
          <w:szCs w:val="20"/>
        </w:rPr>
        <w:t>Co-ordinating Commissioner</w:t>
      </w:r>
      <w:r w:rsidRPr="003721C6">
        <w:rPr>
          <w:rFonts w:cs="Arial"/>
          <w:sz w:val="20"/>
          <w:szCs w:val="20"/>
        </w:rPr>
        <w:t xml:space="preserve"> may reasonably require. </w:t>
      </w:r>
    </w:p>
    <w:p w:rsidR="003721C6" w:rsidRPr="003721C6" w:rsidRDefault="003721C6" w:rsidP="003721C6">
      <w:pPr>
        <w:pStyle w:val="BodyTextIndent3"/>
        <w:spacing w:after="0"/>
        <w:ind w:left="0"/>
        <w:rPr>
          <w:rFonts w:cs="Arial"/>
        </w:rPr>
      </w:pPr>
      <w:r w:rsidRPr="003721C6">
        <w:rPr>
          <w:rFonts w:cs="Arial"/>
          <w:b/>
          <w:sz w:val="20"/>
          <w:szCs w:val="20"/>
        </w:rPr>
        <w:t>4.</w:t>
      </w:r>
      <w:r w:rsidRPr="003721C6">
        <w:rPr>
          <w:rFonts w:cs="Arial"/>
          <w:b/>
          <w:sz w:val="20"/>
          <w:szCs w:val="20"/>
        </w:rPr>
        <w:tab/>
        <w:t>Termination Rights</w:t>
      </w:r>
    </w:p>
    <w:p w:rsidR="003721C6" w:rsidRPr="003721C6" w:rsidRDefault="003721C6" w:rsidP="003721C6">
      <w:pPr>
        <w:pStyle w:val="BodyTextIndent3"/>
        <w:spacing w:before="120"/>
        <w:ind w:left="567"/>
        <w:rPr>
          <w:rFonts w:cs="Arial"/>
          <w:sz w:val="20"/>
          <w:szCs w:val="20"/>
        </w:rPr>
      </w:pPr>
      <w:r w:rsidRPr="003721C6">
        <w:rPr>
          <w:rFonts w:cs="Arial"/>
          <w:sz w:val="20"/>
          <w:szCs w:val="20"/>
        </w:rPr>
        <w:t xml:space="preserve">In the event that: </w:t>
      </w:r>
    </w:p>
    <w:p w:rsidR="003721C6" w:rsidRPr="003721C6" w:rsidRDefault="003721C6" w:rsidP="003721C6">
      <w:pPr>
        <w:pStyle w:val="BodyTextIndent3"/>
        <w:spacing w:before="120"/>
        <w:ind w:left="1276" w:hanging="709"/>
        <w:rPr>
          <w:rFonts w:cs="Arial"/>
          <w:sz w:val="20"/>
          <w:szCs w:val="20"/>
        </w:rPr>
      </w:pPr>
      <w:r w:rsidRPr="003721C6">
        <w:rPr>
          <w:rFonts w:cs="Arial"/>
          <w:sz w:val="20"/>
          <w:szCs w:val="20"/>
        </w:rPr>
        <w:t>(a)</w:t>
      </w:r>
      <w:r w:rsidRPr="003721C6">
        <w:rPr>
          <w:rFonts w:cs="Arial"/>
          <w:sz w:val="20"/>
          <w:szCs w:val="20"/>
        </w:rPr>
        <w:tab/>
      </w:r>
      <w:proofErr w:type="gramStart"/>
      <w:r w:rsidRPr="003721C6">
        <w:rPr>
          <w:rFonts w:cs="Arial"/>
          <w:sz w:val="20"/>
          <w:szCs w:val="20"/>
        </w:rPr>
        <w:t>the</w:t>
      </w:r>
      <w:proofErr w:type="gramEnd"/>
      <w:r w:rsidRPr="003721C6">
        <w:rPr>
          <w:rFonts w:cs="Arial"/>
          <w:sz w:val="20"/>
          <w:szCs w:val="20"/>
        </w:rPr>
        <w:t xml:space="preserve"> warranty given by the </w:t>
      </w:r>
      <w:r w:rsidR="00B25B69">
        <w:rPr>
          <w:rFonts w:cs="Arial"/>
          <w:sz w:val="20"/>
          <w:szCs w:val="20"/>
        </w:rPr>
        <w:t>Provider</w:t>
      </w:r>
      <w:r w:rsidRPr="003721C6">
        <w:rPr>
          <w:rFonts w:cs="Arial"/>
          <w:sz w:val="20"/>
          <w:szCs w:val="20"/>
        </w:rPr>
        <w:t xml:space="preserve"> pursuant to Paragraph 2 is materially untrue; or </w:t>
      </w:r>
    </w:p>
    <w:p w:rsidR="003721C6" w:rsidRPr="003721C6" w:rsidRDefault="003721C6" w:rsidP="003721C6">
      <w:pPr>
        <w:pStyle w:val="BodyTextIndent3"/>
        <w:spacing w:before="120"/>
        <w:ind w:left="1276" w:hanging="709"/>
        <w:rPr>
          <w:rFonts w:cs="Arial"/>
          <w:sz w:val="20"/>
          <w:szCs w:val="20"/>
        </w:rPr>
      </w:pPr>
      <w:r w:rsidRPr="003721C6">
        <w:rPr>
          <w:rFonts w:cs="Arial"/>
          <w:sz w:val="20"/>
          <w:szCs w:val="20"/>
        </w:rPr>
        <w:t>(b)</w:t>
      </w:r>
      <w:r w:rsidRPr="003721C6">
        <w:rPr>
          <w:rFonts w:cs="Arial"/>
          <w:sz w:val="20"/>
          <w:szCs w:val="20"/>
        </w:rPr>
        <w:tab/>
        <w:t xml:space="preserve">the </w:t>
      </w:r>
      <w:r w:rsidR="00B25B69">
        <w:rPr>
          <w:rFonts w:cs="Arial"/>
          <w:sz w:val="20"/>
          <w:szCs w:val="20"/>
        </w:rPr>
        <w:t>Provider</w:t>
      </w:r>
      <w:r w:rsidRPr="003721C6">
        <w:rPr>
          <w:rFonts w:cs="Arial"/>
          <w:sz w:val="20"/>
          <w:szCs w:val="20"/>
        </w:rPr>
        <w:t xml:space="preserve"> commits a Material Breach of its obligation to notify the </w:t>
      </w:r>
      <w:r w:rsidR="00B25B69">
        <w:rPr>
          <w:rFonts w:cs="Arial"/>
          <w:sz w:val="20"/>
          <w:szCs w:val="20"/>
        </w:rPr>
        <w:t>Co-ordinating Commissioner</w:t>
      </w:r>
      <w:r w:rsidRPr="003721C6">
        <w:rPr>
          <w:rFonts w:cs="Arial"/>
          <w:sz w:val="20"/>
          <w:szCs w:val="20"/>
        </w:rPr>
        <w:t xml:space="preserve"> of any Occasion of Tax Non-Compliance as required by Paragraph 3; or </w:t>
      </w:r>
    </w:p>
    <w:p w:rsidR="003721C6" w:rsidRPr="003721C6" w:rsidRDefault="003721C6" w:rsidP="003721C6">
      <w:pPr>
        <w:pStyle w:val="BodyTextIndent3"/>
        <w:spacing w:before="120"/>
        <w:ind w:left="1276" w:hanging="709"/>
        <w:rPr>
          <w:rFonts w:cs="Arial"/>
          <w:sz w:val="20"/>
          <w:szCs w:val="20"/>
        </w:rPr>
      </w:pPr>
      <w:r w:rsidRPr="003721C6">
        <w:rPr>
          <w:rFonts w:cs="Arial"/>
          <w:sz w:val="20"/>
          <w:szCs w:val="20"/>
        </w:rPr>
        <w:t>(c)</w:t>
      </w:r>
      <w:r w:rsidRPr="003721C6">
        <w:rPr>
          <w:rFonts w:cs="Arial"/>
          <w:sz w:val="20"/>
          <w:szCs w:val="20"/>
        </w:rPr>
        <w:tab/>
      </w:r>
      <w:proofErr w:type="gramStart"/>
      <w:r w:rsidRPr="003721C6">
        <w:rPr>
          <w:rFonts w:cs="Arial"/>
          <w:sz w:val="20"/>
          <w:szCs w:val="20"/>
        </w:rPr>
        <w:t>the</w:t>
      </w:r>
      <w:proofErr w:type="gramEnd"/>
      <w:r w:rsidRPr="003721C6">
        <w:rPr>
          <w:rFonts w:cs="Arial"/>
          <w:sz w:val="20"/>
          <w:szCs w:val="20"/>
        </w:rPr>
        <w:t xml:space="preserve"> </w:t>
      </w:r>
      <w:r w:rsidR="00B25B69">
        <w:rPr>
          <w:rFonts w:cs="Arial"/>
          <w:sz w:val="20"/>
          <w:szCs w:val="20"/>
        </w:rPr>
        <w:t>Provider</w:t>
      </w:r>
      <w:r w:rsidRPr="003721C6">
        <w:rPr>
          <w:rFonts w:cs="Arial"/>
          <w:sz w:val="20"/>
          <w:szCs w:val="20"/>
        </w:rPr>
        <w:t xml:space="preserve"> fails to provide details of proposed mitigating factors which in the reasonable opinion of the </w:t>
      </w:r>
      <w:r w:rsidR="00B25B69">
        <w:rPr>
          <w:rFonts w:cs="Arial"/>
          <w:sz w:val="20"/>
          <w:szCs w:val="20"/>
        </w:rPr>
        <w:t>Co-ordinating Commissioner</w:t>
      </w:r>
      <w:r w:rsidRPr="003721C6">
        <w:rPr>
          <w:rFonts w:cs="Arial"/>
          <w:sz w:val="20"/>
          <w:szCs w:val="20"/>
        </w:rPr>
        <w:t xml:space="preserve">, are acceptable </w:t>
      </w:r>
    </w:p>
    <w:p w:rsidR="003721C6" w:rsidRPr="003721C6" w:rsidRDefault="003721C6" w:rsidP="003721C6">
      <w:pPr>
        <w:pStyle w:val="BodyTextIndent3"/>
        <w:spacing w:before="120"/>
        <w:ind w:left="709" w:hanging="709"/>
        <w:rPr>
          <w:rFonts w:cs="Arial"/>
          <w:sz w:val="20"/>
          <w:szCs w:val="20"/>
        </w:rPr>
      </w:pPr>
      <w:r w:rsidRPr="003721C6">
        <w:rPr>
          <w:rFonts w:cs="Arial"/>
          <w:sz w:val="20"/>
          <w:szCs w:val="20"/>
        </w:rPr>
        <w:tab/>
      </w:r>
      <w:proofErr w:type="gramStart"/>
      <w:r w:rsidRPr="003721C6">
        <w:rPr>
          <w:rFonts w:cs="Arial"/>
          <w:sz w:val="20"/>
          <w:szCs w:val="20"/>
        </w:rPr>
        <w:t>the</w:t>
      </w:r>
      <w:proofErr w:type="gramEnd"/>
      <w:r w:rsidRPr="003721C6">
        <w:rPr>
          <w:rFonts w:cs="Arial"/>
          <w:sz w:val="20"/>
          <w:szCs w:val="20"/>
        </w:rPr>
        <w:t xml:space="preserve"> </w:t>
      </w:r>
      <w:r w:rsidR="00B25B69">
        <w:rPr>
          <w:rFonts w:cs="Arial"/>
          <w:sz w:val="20"/>
          <w:szCs w:val="20"/>
        </w:rPr>
        <w:t>Co-ordinating Commissioner</w:t>
      </w:r>
      <w:r w:rsidRPr="003721C6">
        <w:rPr>
          <w:rFonts w:cs="Arial"/>
          <w:sz w:val="20"/>
          <w:szCs w:val="20"/>
        </w:rPr>
        <w:t xml:space="preserve"> shall be entitled to terminate this Agreement as if the event were an Insolvency Event of Default (and notwithstanding any lapse of time since the event).</w:t>
      </w:r>
    </w:p>
    <w:p w:rsidR="003721C6" w:rsidRPr="00D95824" w:rsidRDefault="003721C6" w:rsidP="003721C6">
      <w:pPr>
        <w:pStyle w:val="StandardHead"/>
        <w:spacing w:before="0"/>
        <w:rPr>
          <w:rFonts w:cs="Arial"/>
        </w:rPr>
      </w:pPr>
    </w:p>
    <w:p w:rsidR="0048495F" w:rsidRDefault="0048495F"/>
    <w:sectPr w:rsidR="004849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1C6" w:rsidRDefault="003721C6" w:rsidP="003721C6">
      <w:r>
        <w:separator/>
      </w:r>
    </w:p>
  </w:endnote>
  <w:endnote w:type="continuationSeparator" w:id="0">
    <w:p w:rsidR="003721C6" w:rsidRDefault="003721C6" w:rsidP="00372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1C6" w:rsidRDefault="003721C6" w:rsidP="003721C6">
      <w:r>
        <w:separator/>
      </w:r>
    </w:p>
  </w:footnote>
  <w:footnote w:type="continuationSeparator" w:id="0">
    <w:p w:rsidR="003721C6" w:rsidRDefault="003721C6" w:rsidP="003721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1C6"/>
    <w:rsid w:val="0030362C"/>
    <w:rsid w:val="003721C6"/>
    <w:rsid w:val="0048495F"/>
    <w:rsid w:val="004F2365"/>
    <w:rsid w:val="007F64B0"/>
    <w:rsid w:val="00B2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1C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">
    <w:name w:val="Definition"/>
    <w:basedOn w:val="Normal"/>
    <w:next w:val="DefinitionText"/>
    <w:rsid w:val="003721C6"/>
    <w:pPr>
      <w:keepNext/>
      <w:spacing w:before="300" w:line="280" w:lineRule="atLeast"/>
      <w:ind w:left="567"/>
    </w:pPr>
    <w:rPr>
      <w:b/>
    </w:rPr>
  </w:style>
  <w:style w:type="paragraph" w:customStyle="1" w:styleId="DefinitionText">
    <w:name w:val="Definition Text"/>
    <w:basedOn w:val="Normal"/>
    <w:next w:val="Definition"/>
    <w:rsid w:val="003721C6"/>
    <w:pPr>
      <w:spacing w:before="60" w:line="280" w:lineRule="atLeast"/>
      <w:ind w:left="1701"/>
    </w:pPr>
  </w:style>
  <w:style w:type="paragraph" w:customStyle="1" w:styleId="StandardHead">
    <w:name w:val="Standard Head"/>
    <w:basedOn w:val="Normal"/>
    <w:next w:val="Normal"/>
    <w:rsid w:val="003721C6"/>
    <w:pPr>
      <w:spacing w:before="240"/>
      <w:jc w:val="center"/>
    </w:pPr>
    <w:rPr>
      <w:b/>
      <w:caps/>
    </w:rPr>
  </w:style>
  <w:style w:type="paragraph" w:styleId="FootnoteText">
    <w:name w:val="footnote text"/>
    <w:basedOn w:val="Normal"/>
    <w:link w:val="FootnoteTextChar"/>
    <w:semiHidden/>
    <w:rsid w:val="003721C6"/>
  </w:style>
  <w:style w:type="character" w:customStyle="1" w:styleId="FootnoteTextChar">
    <w:name w:val="Footnote Text Char"/>
    <w:basedOn w:val="DefaultParagraphFont"/>
    <w:link w:val="FootnoteText"/>
    <w:semiHidden/>
    <w:rsid w:val="003721C6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semiHidden/>
    <w:rsid w:val="003721C6"/>
    <w:rPr>
      <w:vertAlign w:val="superscript"/>
    </w:rPr>
  </w:style>
  <w:style w:type="paragraph" w:styleId="BodyTextIndent3">
    <w:name w:val="Body Text Indent 3"/>
    <w:basedOn w:val="Normal"/>
    <w:link w:val="BodyTextIndent3Char"/>
    <w:rsid w:val="003721C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21C6"/>
    <w:rPr>
      <w:rFonts w:ascii="Arial" w:eastAsia="Times New Roman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1C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">
    <w:name w:val="Definition"/>
    <w:basedOn w:val="Normal"/>
    <w:next w:val="DefinitionText"/>
    <w:rsid w:val="003721C6"/>
    <w:pPr>
      <w:keepNext/>
      <w:spacing w:before="300" w:line="280" w:lineRule="atLeast"/>
      <w:ind w:left="567"/>
    </w:pPr>
    <w:rPr>
      <w:b/>
    </w:rPr>
  </w:style>
  <w:style w:type="paragraph" w:customStyle="1" w:styleId="DefinitionText">
    <w:name w:val="Definition Text"/>
    <w:basedOn w:val="Normal"/>
    <w:next w:val="Definition"/>
    <w:rsid w:val="003721C6"/>
    <w:pPr>
      <w:spacing w:before="60" w:line="280" w:lineRule="atLeast"/>
      <w:ind w:left="1701"/>
    </w:pPr>
  </w:style>
  <w:style w:type="paragraph" w:customStyle="1" w:styleId="StandardHead">
    <w:name w:val="Standard Head"/>
    <w:basedOn w:val="Normal"/>
    <w:next w:val="Normal"/>
    <w:rsid w:val="003721C6"/>
    <w:pPr>
      <w:spacing w:before="240"/>
      <w:jc w:val="center"/>
    </w:pPr>
    <w:rPr>
      <w:b/>
      <w:caps/>
    </w:rPr>
  </w:style>
  <w:style w:type="paragraph" w:styleId="FootnoteText">
    <w:name w:val="footnote text"/>
    <w:basedOn w:val="Normal"/>
    <w:link w:val="FootnoteTextChar"/>
    <w:semiHidden/>
    <w:rsid w:val="003721C6"/>
  </w:style>
  <w:style w:type="character" w:customStyle="1" w:styleId="FootnoteTextChar">
    <w:name w:val="Footnote Text Char"/>
    <w:basedOn w:val="DefaultParagraphFont"/>
    <w:link w:val="FootnoteText"/>
    <w:semiHidden/>
    <w:rsid w:val="003721C6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semiHidden/>
    <w:rsid w:val="003721C6"/>
    <w:rPr>
      <w:vertAlign w:val="superscript"/>
    </w:rPr>
  </w:style>
  <w:style w:type="paragraph" w:styleId="BodyTextIndent3">
    <w:name w:val="Body Text Indent 3"/>
    <w:basedOn w:val="Normal"/>
    <w:link w:val="BodyTextIndent3Char"/>
    <w:rsid w:val="003721C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21C6"/>
    <w:rPr>
      <w:rFonts w:ascii="Arial" w:eastAsia="Times New Roman" w:hAnsi="Arial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Essex County Council</Company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Amy.Wilson2</dc:creator>
  <cp:lastModifiedBy>Susan.Moussa</cp:lastModifiedBy>
  <cp:revision>3</cp:revision>
  <dcterms:created xsi:type="dcterms:W3CDTF">2017-07-05T10:46:00Z</dcterms:created>
  <dcterms:modified xsi:type="dcterms:W3CDTF">2017-08-29T19:47:00Z</dcterms:modified>
</cp:coreProperties>
</file>